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28FAE4C4" w14:textId="2276C6BA" w:rsidR="00CF47DA" w:rsidRPr="003F6C16" w:rsidRDefault="00530CCB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№1</w:t>
      </w:r>
    </w:p>
    <w:p w14:paraId="3C270E17" w14:textId="1E0A828B" w:rsidR="00CF47DA" w:rsidRPr="003F6C16" w:rsidRDefault="00CF47DA" w:rsidP="00CF47DA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«</w:t>
      </w:r>
      <w:r w:rsidR="00614487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НІКА-АГРОТРЕЙД</w:t>
      </w:r>
      <w:r w:rsidRPr="0049392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C72EF6" w14:paraId="5B3FA978" w14:textId="77777777" w:rsidTr="007F6C24">
        <w:trPr>
          <w:trHeight w:val="2155"/>
        </w:trPr>
        <w:tc>
          <w:tcPr>
            <w:tcW w:w="9705" w:type="dxa"/>
          </w:tcPr>
          <w:p w14:paraId="555EECFC" w14:textId="7C7A92AB" w:rsidR="00420000" w:rsidRPr="003F6C16" w:rsidRDefault="00E4736A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</w:t>
            </w:r>
            <w:r w:rsidR="002A0AC9">
              <w:rPr>
                <w:rFonts w:ascii="Times New Roman" w:hAnsi="Times New Roman" w:cs="Times New Roman"/>
                <w:lang w:val="uk-UA"/>
              </w:rPr>
              <w:t>приймається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14:paraId="35B6721D" w14:textId="244175F1" w:rsidR="00420000" w:rsidRPr="003F6C16" w:rsidRDefault="0075233E" w:rsidP="0042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</w:t>
            </w:r>
            <w:r w:rsidR="00BF4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C72E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5,9</w:t>
            </w:r>
            <w:r w:rsidR="002A0A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грн за 1 КВтгод з ПДВ 20%</w:t>
            </w:r>
          </w:p>
          <w:p w14:paraId="531156E6" w14:textId="132560D2" w:rsidR="007F6C24" w:rsidRPr="003F6C16" w:rsidRDefault="00420000" w:rsidP="0050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–ціна</w:t>
            </w:r>
            <w:r w:rsidR="00FF39CB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39CB"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A0AC9">
              <w:rPr>
                <w:rFonts w:ascii="Times New Roman" w:hAnsi="Times New Roman" w:cs="Times New Roman"/>
                <w:lang w:val="uk-UA"/>
              </w:rPr>
              <w:t xml:space="preserve">може уточнюватися сторонами в залежності від </w:t>
            </w:r>
            <w:r w:rsidR="00572292">
              <w:rPr>
                <w:rFonts w:ascii="Times New Roman" w:hAnsi="Times New Roman" w:cs="Times New Roman"/>
                <w:lang w:val="uk-UA"/>
              </w:rPr>
              <w:t>графіку</w:t>
            </w:r>
            <w:r w:rsidR="002A0AC9">
              <w:rPr>
                <w:rFonts w:ascii="Times New Roman" w:hAnsi="Times New Roman" w:cs="Times New Roman"/>
                <w:lang w:val="uk-UA"/>
              </w:rPr>
              <w:t xml:space="preserve"> споживання електричної енергії, т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>ариф</w:t>
            </w:r>
            <w:r w:rsidR="002A0AC9">
              <w:rPr>
                <w:rFonts w:ascii="Times New Roman" w:hAnsi="Times New Roman" w:cs="Times New Roman"/>
                <w:lang w:val="uk-UA"/>
              </w:rPr>
              <w:t>у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233E"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 w:rsidR="0075233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A0AC9">
              <w:rPr>
                <w:rFonts w:ascii="Times New Roman" w:hAnsi="Times New Roman" w:cs="Times New Roman"/>
                <w:lang w:val="uk-UA"/>
              </w:rPr>
              <w:t>т</w:t>
            </w:r>
            <w:r w:rsidR="00282946">
              <w:rPr>
                <w:rFonts w:ascii="Times New Roman" w:hAnsi="Times New Roman" w:cs="Times New Roman"/>
                <w:lang w:val="uk-UA"/>
              </w:rPr>
              <w:t>ариф</w:t>
            </w:r>
            <w:r w:rsidR="002A0AC9">
              <w:rPr>
                <w:rFonts w:ascii="Times New Roman" w:hAnsi="Times New Roman" w:cs="Times New Roman"/>
                <w:lang w:val="uk-UA"/>
              </w:rPr>
              <w:t>у</w:t>
            </w:r>
            <w:r w:rsidR="00282946">
              <w:rPr>
                <w:rFonts w:ascii="Times New Roman" w:hAnsi="Times New Roman" w:cs="Times New Roman"/>
                <w:lang w:val="uk-UA"/>
              </w:rPr>
              <w:t xml:space="preserve"> ПрАТ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702B34">
              <w:rPr>
                <w:rFonts w:ascii="Times New Roman" w:hAnsi="Times New Roman" w:cs="Times New Roman"/>
                <w:lang w:val="uk-UA"/>
              </w:rPr>
              <w:t>з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 w:rsidR="00C4001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6A2C466F" w14:textId="505D31BC" w:rsidR="00984CD1" w:rsidRPr="00504410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4.1.</w:t>
            </w:r>
            <w:r w:rsidR="0091474C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0B89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Споживач здійснює передплату за обсяг електричної енергії, який планує Споживач купити у наступному розрахунковому періоді</w:t>
            </w:r>
            <w:r w:rsidR="005C6686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Оплата </w:t>
            </w:r>
            <w:r w:rsidR="009D5BE0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її обсяг </w:t>
            </w:r>
            <w:r w:rsidR="005C6686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здійснюється 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Спожевачем самостійно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трьо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 частинами, а саме: </w:t>
            </w:r>
          </w:p>
          <w:p w14:paraId="3F96F866" w14:textId="77777777" w:rsidR="00984CD1" w:rsidRPr="00504410" w:rsidRDefault="00984CD1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місяця, що передує місяцю поставки – </w:t>
            </w:r>
            <w:r w:rsidR="00E276F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0 % 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періоді;</w:t>
            </w:r>
          </w:p>
          <w:p w14:paraId="1DC4465C" w14:textId="77777777" w:rsidR="00E276F4" w:rsidRPr="00504410" w:rsidRDefault="00E276F4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 поставки в обсязі - 30 %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</w:t>
            </w:r>
          </w:p>
          <w:p w14:paraId="0DCC0114" w14:textId="77777777" w:rsidR="00984CD1" w:rsidRPr="00504410" w:rsidRDefault="00984CD1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 поставки в обсязі - </w:t>
            </w:r>
            <w:r w:rsidR="00E276F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0 %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періоді.</w:t>
            </w:r>
          </w:p>
          <w:p w14:paraId="78603918" w14:textId="77777777" w:rsidR="00E4736A" w:rsidRPr="003F6C16" w:rsidRDefault="00933199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3BC23AC1" w:rsidR="00E4736A" w:rsidRPr="00504410" w:rsidRDefault="00E4736A" w:rsidP="00504410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Wзаяв*Ц,</w:t>
            </w:r>
          </w:p>
          <w:p w14:paraId="790AA3B1" w14:textId="77777777" w:rsidR="00E4736A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де </w:t>
            </w:r>
            <w:r w:rsidRPr="0050441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67A3064E" w:rsidR="00E4736A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ціна (тариф), </w:t>
            </w:r>
            <w:r w:rsid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вказан</w:t>
            </w:r>
            <w:r w:rsid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п.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розділі «Ці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на» цієї Комерційної пропозиції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5140693" w14:textId="77777777" w:rsidR="007F6C24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6A1F5E93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4.3. Сума переплати/недоплати Споживача, яка виникла в наслідок різниці між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плановими </w:t>
            </w:r>
            <w:r w:rsidR="007E629F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</w:t>
            </w:r>
            <w:r w:rsidR="007E62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план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фактичними </w:t>
            </w:r>
            <w:r w:rsidR="007E629F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обсягами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визначається після завершення розрахункового періоду.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№1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10%, Постачальник нараховує 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0DB92D6E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10.1. Договір про постачання електричної енергії споживчу для кожного окремого споживача набирає чинності з дня наступного за днем отримання ТОВ </w:t>
            </w:r>
            <w:bookmarkStart w:id="0" w:name="_GoBack"/>
            <w:bookmarkEnd w:id="0"/>
            <w:r w:rsidR="00614487" w:rsidRPr="006144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«НІКА-АГРОТРЕЙД»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530CC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№1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530CCB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№1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C72EF6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4C402145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530CCB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№1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C72B" w14:textId="77777777" w:rsidR="00886A9D" w:rsidRDefault="00886A9D" w:rsidP="00A77F25">
      <w:pPr>
        <w:spacing w:after="0" w:line="240" w:lineRule="auto"/>
      </w:pPr>
      <w:r>
        <w:separator/>
      </w:r>
    </w:p>
  </w:endnote>
  <w:endnote w:type="continuationSeparator" w:id="0">
    <w:p w14:paraId="59401C99" w14:textId="77777777" w:rsidR="00886A9D" w:rsidRDefault="00886A9D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2AF" w14:textId="77777777" w:rsidR="00886A9D" w:rsidRDefault="00886A9D" w:rsidP="00A77F25">
      <w:pPr>
        <w:spacing w:after="0" w:line="240" w:lineRule="auto"/>
      </w:pPr>
      <w:r>
        <w:separator/>
      </w:r>
    </w:p>
  </w:footnote>
  <w:footnote w:type="continuationSeparator" w:id="0">
    <w:p w14:paraId="06B9A1F8" w14:textId="77777777" w:rsidR="00886A9D" w:rsidRDefault="00886A9D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951BD"/>
    <w:rsid w:val="001A41B7"/>
    <w:rsid w:val="001A65B5"/>
    <w:rsid w:val="001B4714"/>
    <w:rsid w:val="001B7985"/>
    <w:rsid w:val="00220146"/>
    <w:rsid w:val="002318A8"/>
    <w:rsid w:val="00254953"/>
    <w:rsid w:val="00282946"/>
    <w:rsid w:val="002A0AC9"/>
    <w:rsid w:val="002F00D6"/>
    <w:rsid w:val="00311CC6"/>
    <w:rsid w:val="00320476"/>
    <w:rsid w:val="00327037"/>
    <w:rsid w:val="00366569"/>
    <w:rsid w:val="003F6C16"/>
    <w:rsid w:val="00420000"/>
    <w:rsid w:val="00451903"/>
    <w:rsid w:val="0048785F"/>
    <w:rsid w:val="00492F50"/>
    <w:rsid w:val="0049392F"/>
    <w:rsid w:val="00504410"/>
    <w:rsid w:val="005245D8"/>
    <w:rsid w:val="00530CCB"/>
    <w:rsid w:val="00572292"/>
    <w:rsid w:val="005A24DB"/>
    <w:rsid w:val="005A491B"/>
    <w:rsid w:val="005C6686"/>
    <w:rsid w:val="005C735D"/>
    <w:rsid w:val="00614487"/>
    <w:rsid w:val="00640F53"/>
    <w:rsid w:val="006447F4"/>
    <w:rsid w:val="00656684"/>
    <w:rsid w:val="0067235E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E629F"/>
    <w:rsid w:val="007F0109"/>
    <w:rsid w:val="007F6C24"/>
    <w:rsid w:val="00804D9A"/>
    <w:rsid w:val="00810C34"/>
    <w:rsid w:val="00886A9D"/>
    <w:rsid w:val="008B7365"/>
    <w:rsid w:val="008C01F8"/>
    <w:rsid w:val="008D45BD"/>
    <w:rsid w:val="00905F38"/>
    <w:rsid w:val="0091474C"/>
    <w:rsid w:val="0092742E"/>
    <w:rsid w:val="0093224A"/>
    <w:rsid w:val="00933199"/>
    <w:rsid w:val="00935EC1"/>
    <w:rsid w:val="009845CB"/>
    <w:rsid w:val="00984CD1"/>
    <w:rsid w:val="009B16EE"/>
    <w:rsid w:val="009B7E5E"/>
    <w:rsid w:val="009D5BE0"/>
    <w:rsid w:val="009E1B93"/>
    <w:rsid w:val="009E1D1E"/>
    <w:rsid w:val="009F597C"/>
    <w:rsid w:val="00A00D82"/>
    <w:rsid w:val="00A0103D"/>
    <w:rsid w:val="00A2461D"/>
    <w:rsid w:val="00A30CE6"/>
    <w:rsid w:val="00A5155A"/>
    <w:rsid w:val="00A77F25"/>
    <w:rsid w:val="00AD187A"/>
    <w:rsid w:val="00AD2FDD"/>
    <w:rsid w:val="00AF33F7"/>
    <w:rsid w:val="00B54171"/>
    <w:rsid w:val="00B64991"/>
    <w:rsid w:val="00BF4D9F"/>
    <w:rsid w:val="00C12BEC"/>
    <w:rsid w:val="00C24032"/>
    <w:rsid w:val="00C40010"/>
    <w:rsid w:val="00C72EF6"/>
    <w:rsid w:val="00C8723C"/>
    <w:rsid w:val="00C94A1B"/>
    <w:rsid w:val="00CB059D"/>
    <w:rsid w:val="00CC017A"/>
    <w:rsid w:val="00CD21BD"/>
    <w:rsid w:val="00CF47DA"/>
    <w:rsid w:val="00DA7BC9"/>
    <w:rsid w:val="00DE5781"/>
    <w:rsid w:val="00DF1705"/>
    <w:rsid w:val="00DF65B4"/>
    <w:rsid w:val="00DF7D42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F003CC"/>
    <w:rsid w:val="00F008B9"/>
    <w:rsid w:val="00F15586"/>
    <w:rsid w:val="00F21621"/>
    <w:rsid w:val="00F27395"/>
    <w:rsid w:val="00F478AE"/>
    <w:rsid w:val="00F55A67"/>
    <w:rsid w:val="00FF02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8E1F-D3D8-49E8-BD1D-F885B5A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Анна Пархомчук</cp:lastModifiedBy>
  <cp:revision>14</cp:revision>
  <dcterms:created xsi:type="dcterms:W3CDTF">2021-08-16T08:11:00Z</dcterms:created>
  <dcterms:modified xsi:type="dcterms:W3CDTF">2021-08-17T09:09:00Z</dcterms:modified>
</cp:coreProperties>
</file>